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cs="Times New Roman"/>
          <w:b/>
          <w:bCs/>
          <w:sz w:val="24"/>
        </w:rPr>
      </w:pPr>
      <w:r>
        <w:rPr>
          <w:rFonts w:ascii="Times New Roman" w:hAnsi="Times New Roman" w:cs="Times New Roman"/>
          <w:b/>
          <w:bCs/>
          <w:sz w:val="24"/>
        </w:rPr>
        <w:t>Title page</w:t>
      </w:r>
    </w:p>
    <w:p>
      <w:pPr>
        <w:spacing w:line="360" w:lineRule="auto"/>
        <w:rPr>
          <w:rFonts w:ascii="Times New Roman" w:hAnsi="Times New Roman" w:cs="Times New Roman"/>
          <w:b/>
          <w:bCs/>
          <w:sz w:val="24"/>
        </w:rPr>
      </w:pPr>
      <w:r>
        <w:rPr>
          <w:rFonts w:ascii="Times New Roman" w:hAnsi="Times New Roman" w:cs="Times New Roman"/>
          <w:b/>
          <w:bCs/>
          <w:sz w:val="24"/>
        </w:rPr>
        <w:t>Lifestyle factors, cardiometabolic diseases and future risk of cancer in Chinese adults: a prospective cohort study</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Authors and affiliations</w:t>
      </w:r>
    </w:p>
    <w:p>
      <w:pPr>
        <w:spacing w:line="360" w:lineRule="auto"/>
        <w:rPr>
          <w:rFonts w:ascii="Times New Roman" w:hAnsi="Times New Roman" w:cs="Times New Roman"/>
          <w:sz w:val="24"/>
        </w:rPr>
      </w:pPr>
      <w:r>
        <w:rPr>
          <w:rFonts w:ascii="Times New Roman" w:hAnsi="Times New Roman" w:cs="Times New Roman"/>
          <w:sz w:val="24"/>
        </w:rPr>
        <w:t>Xia Zhu</w:t>
      </w:r>
      <w:r>
        <w:rPr>
          <w:rFonts w:hint="eastAsia" w:ascii="Times New Roman" w:hAnsi="Times New Roman" w:cs="Times New Roman"/>
          <w:sz w:val="24"/>
          <w:vertAlign w:val="superscript"/>
        </w:rPr>
        <w:t>1</w:t>
      </w:r>
      <w:r>
        <w:rPr>
          <w:rFonts w:ascii="Times New Roman" w:hAnsi="Times New Roman" w:cs="Times New Roman"/>
          <w:sz w:val="24"/>
        </w:rPr>
        <w:t>, Jun Lv</w:t>
      </w:r>
      <w:r>
        <w:rPr>
          <w:rFonts w:hint="eastAsia" w:ascii="Times New Roman" w:hAnsi="Times New Roman" w:cs="Times New Roman"/>
          <w:sz w:val="24"/>
          <w:vertAlign w:val="superscript"/>
        </w:rPr>
        <w:t>2,3,4,5</w:t>
      </w:r>
      <w:r>
        <w:rPr>
          <w:rFonts w:ascii="Times New Roman" w:hAnsi="Times New Roman" w:cs="Times New Roman"/>
          <w:sz w:val="24"/>
        </w:rPr>
        <w:t>, Meng Zhu</w:t>
      </w:r>
      <w:r>
        <w:rPr>
          <w:rFonts w:hint="eastAsia" w:ascii="Times New Roman" w:hAnsi="Times New Roman" w:cs="Times New Roman"/>
          <w:sz w:val="24"/>
          <w:vertAlign w:val="superscript"/>
        </w:rPr>
        <w:t>1,6</w:t>
      </w:r>
      <w:r>
        <w:rPr>
          <w:rFonts w:ascii="Times New Roman" w:hAnsi="Times New Roman" w:cs="Times New Roman"/>
          <w:sz w:val="24"/>
        </w:rPr>
        <w:t>, Tianpei Wang</w:t>
      </w:r>
      <w:r>
        <w:rPr>
          <w:rFonts w:hint="eastAsia" w:ascii="Times New Roman" w:hAnsi="Times New Roman" w:cs="Times New Roman"/>
          <w:sz w:val="24"/>
          <w:vertAlign w:val="superscript"/>
        </w:rPr>
        <w:t>1</w:t>
      </w:r>
      <w:r>
        <w:rPr>
          <w:rFonts w:ascii="Times New Roman" w:hAnsi="Times New Roman" w:cs="Times New Roman"/>
          <w:sz w:val="24"/>
        </w:rPr>
        <w:t>, Caiwang Yan</w:t>
      </w:r>
      <w:r>
        <w:rPr>
          <w:rFonts w:hint="eastAsia" w:ascii="Times New Roman" w:hAnsi="Times New Roman" w:cs="Times New Roman"/>
          <w:sz w:val="24"/>
          <w:vertAlign w:val="superscript"/>
        </w:rPr>
        <w:t>1,6</w:t>
      </w:r>
      <w:r>
        <w:rPr>
          <w:rFonts w:ascii="Times New Roman" w:hAnsi="Times New Roman" w:cs="Times New Roman"/>
          <w:sz w:val="24"/>
        </w:rPr>
        <w:t>, Ci Song</w:t>
      </w:r>
      <w:r>
        <w:rPr>
          <w:rFonts w:hint="eastAsia" w:ascii="Times New Roman" w:hAnsi="Times New Roman" w:cs="Times New Roman"/>
          <w:sz w:val="24"/>
          <w:vertAlign w:val="superscript"/>
        </w:rPr>
        <w:t>1,6</w:t>
      </w:r>
      <w:r>
        <w:rPr>
          <w:rFonts w:ascii="Times New Roman" w:hAnsi="Times New Roman" w:cs="Times New Roman"/>
          <w:sz w:val="24"/>
        </w:rPr>
        <w:t>, Canqing Yu</w:t>
      </w:r>
      <w:r>
        <w:rPr>
          <w:rFonts w:hint="eastAsia" w:ascii="Times New Roman" w:hAnsi="Times New Roman" w:cs="Times New Roman"/>
          <w:sz w:val="24"/>
          <w:vertAlign w:val="superscript"/>
        </w:rPr>
        <w:t>2,3,4</w:t>
      </w:r>
      <w:r>
        <w:rPr>
          <w:rFonts w:ascii="Times New Roman" w:hAnsi="Times New Roman" w:cs="Times New Roman"/>
          <w:sz w:val="24"/>
        </w:rPr>
        <w:t>, Dianjianyi Sun</w:t>
      </w:r>
      <w:r>
        <w:rPr>
          <w:rFonts w:hint="eastAsia" w:ascii="Times New Roman" w:hAnsi="Times New Roman" w:cs="Times New Roman"/>
          <w:sz w:val="24"/>
          <w:vertAlign w:val="superscript"/>
        </w:rPr>
        <w:t>2,3,4</w:t>
      </w:r>
      <w:r>
        <w:rPr>
          <w:rFonts w:ascii="Times New Roman" w:hAnsi="Times New Roman" w:cs="Times New Roman"/>
          <w:sz w:val="24"/>
        </w:rPr>
        <w:t>, Yue Jiang</w:t>
      </w:r>
      <w:r>
        <w:rPr>
          <w:rFonts w:hint="eastAsia" w:ascii="Times New Roman" w:hAnsi="Times New Roman" w:cs="Times New Roman"/>
          <w:sz w:val="24"/>
          <w:vertAlign w:val="superscript"/>
        </w:rPr>
        <w:t>1,6</w:t>
      </w:r>
      <w:r>
        <w:rPr>
          <w:rFonts w:ascii="Times New Roman" w:hAnsi="Times New Roman" w:cs="Times New Roman"/>
          <w:sz w:val="24"/>
        </w:rPr>
        <w:t>, Jiaping Chen</w:t>
      </w:r>
      <w:r>
        <w:rPr>
          <w:rFonts w:hint="eastAsia" w:ascii="Times New Roman" w:hAnsi="Times New Roman" w:cs="Times New Roman"/>
          <w:sz w:val="24"/>
          <w:vertAlign w:val="superscript"/>
        </w:rPr>
        <w:t>1,6</w:t>
      </w:r>
      <w:r>
        <w:rPr>
          <w:rFonts w:ascii="Times New Roman" w:hAnsi="Times New Roman" w:cs="Times New Roman"/>
          <w:sz w:val="24"/>
        </w:rPr>
        <w:t>, Ling Yang</w:t>
      </w:r>
      <w:r>
        <w:rPr>
          <w:rFonts w:hint="eastAsia" w:ascii="Times New Roman" w:hAnsi="Times New Roman" w:cs="Times New Roman"/>
          <w:sz w:val="24"/>
          <w:vertAlign w:val="superscript"/>
        </w:rPr>
        <w:t>7,8</w:t>
      </w:r>
      <w:r>
        <w:rPr>
          <w:rFonts w:ascii="Times New Roman" w:hAnsi="Times New Roman" w:cs="Times New Roman"/>
          <w:sz w:val="24"/>
        </w:rPr>
        <w:t>, Yiping Chen</w:t>
      </w:r>
      <w:r>
        <w:rPr>
          <w:rFonts w:hint="eastAsia" w:ascii="Times New Roman" w:hAnsi="Times New Roman" w:cs="Times New Roman"/>
          <w:sz w:val="24"/>
          <w:vertAlign w:val="superscript"/>
        </w:rPr>
        <w:t>7,8</w:t>
      </w:r>
      <w:r>
        <w:rPr>
          <w:rFonts w:ascii="Times New Roman" w:hAnsi="Times New Roman" w:cs="Times New Roman"/>
          <w:sz w:val="24"/>
        </w:rPr>
        <w:t>, Huaidong Du</w:t>
      </w:r>
      <w:r>
        <w:rPr>
          <w:rFonts w:hint="eastAsia" w:ascii="Times New Roman" w:hAnsi="Times New Roman" w:cs="Times New Roman"/>
          <w:sz w:val="24"/>
          <w:vertAlign w:val="superscript"/>
        </w:rPr>
        <w:t>7,8</w:t>
      </w:r>
      <w:r>
        <w:rPr>
          <w:rFonts w:ascii="Times New Roman" w:hAnsi="Times New Roman" w:cs="Times New Roman"/>
          <w:sz w:val="24"/>
        </w:rPr>
        <w:t>, Hongxia Ma</w:t>
      </w:r>
      <w:r>
        <w:rPr>
          <w:rFonts w:hint="eastAsia" w:ascii="Times New Roman" w:hAnsi="Times New Roman" w:cs="Times New Roman"/>
          <w:sz w:val="24"/>
          <w:vertAlign w:val="superscript"/>
        </w:rPr>
        <w:t>1,6</w:t>
      </w:r>
      <w:r>
        <w:rPr>
          <w:rFonts w:ascii="Times New Roman" w:hAnsi="Times New Roman" w:cs="Times New Roman"/>
          <w:sz w:val="24"/>
        </w:rPr>
        <w:t>, Zhengming Chen</w:t>
      </w:r>
      <w:r>
        <w:rPr>
          <w:rFonts w:hint="eastAsia" w:ascii="Times New Roman" w:hAnsi="Times New Roman" w:cs="Times New Roman"/>
          <w:sz w:val="24"/>
          <w:vertAlign w:val="superscript"/>
        </w:rPr>
        <w:t>8</w:t>
      </w:r>
      <w:r>
        <w:rPr>
          <w:rFonts w:ascii="Times New Roman" w:hAnsi="Times New Roman" w:cs="Times New Roman"/>
          <w:sz w:val="24"/>
        </w:rPr>
        <w:t>, Zhibin Hu</w:t>
      </w:r>
      <w:r>
        <w:rPr>
          <w:rFonts w:hint="eastAsia" w:ascii="Times New Roman" w:hAnsi="Times New Roman" w:cs="Times New Roman"/>
          <w:sz w:val="24"/>
          <w:vertAlign w:val="superscript"/>
        </w:rPr>
        <w:t>1,6</w:t>
      </w:r>
      <w:r>
        <w:rPr>
          <w:rFonts w:ascii="Times New Roman" w:hAnsi="Times New Roman" w:cs="Times New Roman"/>
          <w:sz w:val="24"/>
        </w:rPr>
        <w:t>, Guangfu Jin</w:t>
      </w:r>
      <w:r>
        <w:rPr>
          <w:rFonts w:hint="eastAsia" w:ascii="Times New Roman" w:hAnsi="Times New Roman" w:cs="Times New Roman"/>
          <w:sz w:val="24"/>
          <w:vertAlign w:val="superscript"/>
        </w:rPr>
        <w:t>1,6*</w:t>
      </w:r>
      <w:r>
        <w:rPr>
          <w:rFonts w:ascii="Times New Roman" w:hAnsi="Times New Roman" w:cs="Times New Roman"/>
          <w:sz w:val="24"/>
        </w:rPr>
        <w:t>, Liming Li</w:t>
      </w:r>
      <w:r>
        <w:rPr>
          <w:rFonts w:hint="eastAsia" w:ascii="Times New Roman" w:hAnsi="Times New Roman" w:cs="Times New Roman"/>
          <w:sz w:val="24"/>
          <w:vertAlign w:val="superscript"/>
        </w:rPr>
        <w:t>2,3,4*</w:t>
      </w:r>
      <w:r>
        <w:rPr>
          <w:rFonts w:ascii="Times New Roman" w:hAnsi="Times New Roman" w:cs="Times New Roman"/>
          <w:sz w:val="24"/>
        </w:rPr>
        <w:t>, Hongbing Shen</w:t>
      </w:r>
      <w:r>
        <w:rPr>
          <w:rFonts w:hint="eastAsia" w:ascii="Times New Roman" w:hAnsi="Times New Roman" w:cs="Times New Roman"/>
          <w:sz w:val="24"/>
          <w:vertAlign w:val="superscript"/>
        </w:rPr>
        <w:t>1,6*</w:t>
      </w:r>
      <w:r>
        <w:rPr>
          <w:rFonts w:ascii="Times New Roman" w:hAnsi="Times New Roman" w:cs="Times New Roman"/>
          <w:sz w:val="24"/>
        </w:rPr>
        <w:t>, on behalf of the China Kadoorie Biobank Collaborative Group</w:t>
      </w:r>
    </w:p>
    <w:p>
      <w:pPr>
        <w:spacing w:line="360" w:lineRule="auto"/>
        <w:rPr>
          <w:rFonts w:hint="eastAsia" w:ascii="Times New Roman" w:hAnsi="Times New Roman" w:cs="Times New Roman"/>
          <w:sz w:val="24"/>
        </w:rPr>
      </w:pPr>
      <w:r>
        <w:rPr>
          <w:rFonts w:hint="eastAsia" w:ascii="Times New Roman" w:hAnsi="Times New Roman" w:cs="Times New Roman"/>
          <w:sz w:val="24"/>
        </w:rPr>
        <w:t>朱夏</w:t>
      </w:r>
      <w:r>
        <w:rPr>
          <w:rFonts w:hint="eastAsia" w:ascii="Times New Roman" w:hAnsi="Times New Roman" w:cs="Times New Roman"/>
          <w:sz w:val="24"/>
          <w:vertAlign w:val="superscript"/>
        </w:rPr>
        <w:t>1</w:t>
      </w:r>
      <w:r>
        <w:rPr>
          <w:rFonts w:hint="eastAsia" w:ascii="Times New Roman" w:hAnsi="Times New Roman" w:cs="Times New Roman"/>
          <w:sz w:val="24"/>
        </w:rPr>
        <w:t>，吕筠</w:t>
      </w:r>
      <w:r>
        <w:rPr>
          <w:rFonts w:hint="eastAsia" w:ascii="Times New Roman" w:hAnsi="Times New Roman" w:cs="Times New Roman"/>
          <w:sz w:val="24"/>
          <w:vertAlign w:val="superscript"/>
        </w:rPr>
        <w:t>2,3,4,5</w:t>
      </w:r>
      <w:r>
        <w:rPr>
          <w:rFonts w:hint="eastAsia" w:ascii="Times New Roman" w:hAnsi="Times New Roman" w:cs="Times New Roman"/>
          <w:sz w:val="24"/>
        </w:rPr>
        <w:t>，朱猛</w:t>
      </w:r>
      <w:r>
        <w:rPr>
          <w:rFonts w:hint="eastAsia" w:ascii="Times New Roman" w:hAnsi="Times New Roman" w:cs="Times New Roman"/>
          <w:sz w:val="24"/>
          <w:vertAlign w:val="superscript"/>
        </w:rPr>
        <w:t>1,6</w:t>
      </w:r>
      <w:r>
        <w:rPr>
          <w:rFonts w:hint="eastAsia" w:ascii="Times New Roman" w:hAnsi="Times New Roman" w:cs="Times New Roman"/>
          <w:sz w:val="24"/>
        </w:rPr>
        <w:t>，汪天培</w:t>
      </w:r>
      <w:r>
        <w:rPr>
          <w:rFonts w:hint="eastAsia" w:ascii="Times New Roman" w:hAnsi="Times New Roman" w:cs="Times New Roman"/>
          <w:sz w:val="24"/>
          <w:vertAlign w:val="superscript"/>
        </w:rPr>
        <w:t>1</w:t>
      </w:r>
      <w:r>
        <w:rPr>
          <w:rFonts w:hint="eastAsia" w:ascii="Times New Roman" w:hAnsi="Times New Roman" w:cs="Times New Roman"/>
          <w:sz w:val="24"/>
        </w:rPr>
        <w:t>，颜财旺</w:t>
      </w:r>
      <w:r>
        <w:rPr>
          <w:rFonts w:hint="eastAsia" w:ascii="Times New Roman" w:hAnsi="Times New Roman" w:cs="Times New Roman"/>
          <w:sz w:val="24"/>
          <w:vertAlign w:val="superscript"/>
        </w:rPr>
        <w:t>1,6</w:t>
      </w:r>
      <w:r>
        <w:rPr>
          <w:rFonts w:hint="eastAsia" w:ascii="Times New Roman" w:hAnsi="Times New Roman" w:cs="Times New Roman"/>
          <w:sz w:val="24"/>
        </w:rPr>
        <w:t>，宋词</w:t>
      </w:r>
      <w:r>
        <w:rPr>
          <w:rFonts w:hint="eastAsia" w:ascii="Times New Roman" w:hAnsi="Times New Roman" w:cs="Times New Roman"/>
          <w:sz w:val="24"/>
          <w:vertAlign w:val="superscript"/>
        </w:rPr>
        <w:t>1,6</w:t>
      </w:r>
      <w:r>
        <w:rPr>
          <w:rFonts w:hint="eastAsia" w:ascii="Times New Roman" w:hAnsi="Times New Roman" w:cs="Times New Roman"/>
          <w:sz w:val="24"/>
        </w:rPr>
        <w:t>，余灿清</w:t>
      </w:r>
      <w:r>
        <w:rPr>
          <w:rFonts w:hint="eastAsia" w:ascii="Times New Roman" w:hAnsi="Times New Roman" w:cs="Times New Roman"/>
          <w:sz w:val="24"/>
          <w:vertAlign w:val="superscript"/>
        </w:rPr>
        <w:t>2,3,4</w:t>
      </w:r>
      <w:r>
        <w:rPr>
          <w:rFonts w:hint="eastAsia" w:ascii="Times New Roman" w:hAnsi="Times New Roman" w:cs="Times New Roman"/>
          <w:sz w:val="24"/>
        </w:rPr>
        <w:t>，孙点剑一</w:t>
      </w:r>
      <w:r>
        <w:rPr>
          <w:rFonts w:hint="eastAsia" w:ascii="Times New Roman" w:hAnsi="Times New Roman" w:cs="Times New Roman"/>
          <w:sz w:val="24"/>
          <w:vertAlign w:val="superscript"/>
        </w:rPr>
        <w:t>2,3,4</w:t>
      </w:r>
      <w:r>
        <w:rPr>
          <w:rFonts w:hint="eastAsia" w:ascii="Times New Roman" w:hAnsi="Times New Roman" w:cs="Times New Roman"/>
          <w:sz w:val="24"/>
        </w:rPr>
        <w:t>，江玥</w:t>
      </w:r>
      <w:r>
        <w:rPr>
          <w:rFonts w:hint="eastAsia" w:ascii="Times New Roman" w:hAnsi="Times New Roman" w:cs="Times New Roman"/>
          <w:sz w:val="24"/>
          <w:vertAlign w:val="superscript"/>
        </w:rPr>
        <w:t>1,6</w:t>
      </w:r>
      <w:r>
        <w:rPr>
          <w:rFonts w:hint="eastAsia" w:ascii="Times New Roman" w:hAnsi="Times New Roman" w:cs="Times New Roman"/>
          <w:sz w:val="24"/>
        </w:rPr>
        <w:t>，陈佳萍</w:t>
      </w:r>
      <w:r>
        <w:rPr>
          <w:rFonts w:hint="eastAsia" w:ascii="Times New Roman" w:hAnsi="Times New Roman" w:cs="Times New Roman"/>
          <w:sz w:val="24"/>
          <w:vertAlign w:val="superscript"/>
        </w:rPr>
        <w:t>1,6</w:t>
      </w:r>
      <w:r>
        <w:rPr>
          <w:rFonts w:hint="eastAsia" w:ascii="Times New Roman" w:hAnsi="Times New Roman" w:cs="Times New Roman"/>
          <w:sz w:val="24"/>
        </w:rPr>
        <w:t>，杨玲</w:t>
      </w:r>
      <w:r>
        <w:rPr>
          <w:rFonts w:hint="eastAsia" w:ascii="Times New Roman" w:hAnsi="Times New Roman" w:cs="Times New Roman"/>
          <w:sz w:val="24"/>
          <w:vertAlign w:val="superscript"/>
        </w:rPr>
        <w:t>7,8</w:t>
      </w:r>
      <w:r>
        <w:rPr>
          <w:rFonts w:hint="eastAsia" w:ascii="Times New Roman" w:hAnsi="Times New Roman" w:cs="Times New Roman"/>
          <w:sz w:val="24"/>
        </w:rPr>
        <w:t>，陈怡平</w:t>
      </w:r>
      <w:r>
        <w:rPr>
          <w:rFonts w:hint="eastAsia" w:ascii="Times New Roman" w:hAnsi="Times New Roman" w:cs="Times New Roman"/>
          <w:sz w:val="24"/>
          <w:vertAlign w:val="superscript"/>
        </w:rPr>
        <w:t>7,8</w:t>
      </w:r>
      <w:r>
        <w:rPr>
          <w:rFonts w:hint="eastAsia" w:ascii="Times New Roman" w:hAnsi="Times New Roman" w:cs="Times New Roman"/>
          <w:sz w:val="24"/>
        </w:rPr>
        <w:t>，杜怀东</w:t>
      </w:r>
      <w:r>
        <w:rPr>
          <w:rFonts w:hint="eastAsia" w:ascii="Times New Roman" w:hAnsi="Times New Roman" w:cs="Times New Roman"/>
          <w:sz w:val="24"/>
          <w:vertAlign w:val="superscript"/>
        </w:rPr>
        <w:t>7,8</w:t>
      </w:r>
      <w:r>
        <w:rPr>
          <w:rFonts w:hint="eastAsia" w:ascii="Times New Roman" w:hAnsi="Times New Roman" w:cs="Times New Roman"/>
          <w:sz w:val="24"/>
        </w:rPr>
        <w:t>，马红霞</w:t>
      </w:r>
      <w:r>
        <w:rPr>
          <w:rFonts w:hint="eastAsia" w:ascii="Times New Roman" w:hAnsi="Times New Roman" w:cs="Times New Roman"/>
          <w:sz w:val="24"/>
          <w:vertAlign w:val="superscript"/>
        </w:rPr>
        <w:t>1,6</w:t>
      </w:r>
      <w:r>
        <w:rPr>
          <w:rFonts w:hint="eastAsia" w:ascii="Times New Roman" w:hAnsi="Times New Roman" w:cs="Times New Roman"/>
          <w:sz w:val="24"/>
        </w:rPr>
        <w:t>，陈铮鸣</w:t>
      </w:r>
      <w:r>
        <w:rPr>
          <w:rFonts w:hint="eastAsia" w:ascii="Times New Roman" w:hAnsi="Times New Roman" w:cs="Times New Roman"/>
          <w:sz w:val="24"/>
          <w:vertAlign w:val="superscript"/>
        </w:rPr>
        <w:t>8</w:t>
      </w:r>
      <w:r>
        <w:rPr>
          <w:rFonts w:hint="eastAsia" w:ascii="Times New Roman" w:hAnsi="Times New Roman" w:cs="Times New Roman"/>
          <w:sz w:val="24"/>
        </w:rPr>
        <w:t>，胡志斌</w:t>
      </w:r>
      <w:r>
        <w:rPr>
          <w:rFonts w:hint="eastAsia" w:ascii="Times New Roman" w:hAnsi="Times New Roman" w:cs="Times New Roman"/>
          <w:sz w:val="24"/>
          <w:vertAlign w:val="superscript"/>
        </w:rPr>
        <w:t>1,6</w:t>
      </w:r>
      <w:r>
        <w:rPr>
          <w:rFonts w:hint="eastAsia" w:ascii="Times New Roman" w:hAnsi="Times New Roman" w:cs="Times New Roman"/>
          <w:sz w:val="24"/>
        </w:rPr>
        <w:t>，靳光付</w:t>
      </w:r>
      <w:r>
        <w:rPr>
          <w:rFonts w:hint="eastAsia" w:ascii="Times New Roman" w:hAnsi="Times New Roman" w:cs="Times New Roman"/>
          <w:sz w:val="24"/>
          <w:vertAlign w:val="superscript"/>
        </w:rPr>
        <w:t>1,6*</w:t>
      </w:r>
      <w:r>
        <w:rPr>
          <w:rFonts w:hint="eastAsia" w:ascii="Times New Roman" w:hAnsi="Times New Roman" w:cs="Times New Roman"/>
          <w:sz w:val="24"/>
        </w:rPr>
        <w:t>，李立明</w:t>
      </w:r>
      <w:r>
        <w:rPr>
          <w:rFonts w:hint="eastAsia" w:ascii="Times New Roman" w:hAnsi="Times New Roman" w:cs="Times New Roman"/>
          <w:sz w:val="24"/>
          <w:vertAlign w:val="superscript"/>
        </w:rPr>
        <w:t>2,3,4*</w:t>
      </w:r>
      <w:r>
        <w:rPr>
          <w:rFonts w:hint="eastAsia" w:ascii="Times New Roman" w:hAnsi="Times New Roman" w:cs="Times New Roman"/>
          <w:sz w:val="24"/>
        </w:rPr>
        <w:t>，沈洪兵</w:t>
      </w:r>
      <w:r>
        <w:rPr>
          <w:rFonts w:hint="eastAsia" w:ascii="Times New Roman" w:hAnsi="Times New Roman" w:cs="Times New Roman"/>
          <w:sz w:val="24"/>
          <w:vertAlign w:val="superscript"/>
        </w:rPr>
        <w:t>1,6*</w:t>
      </w:r>
      <w:r>
        <w:rPr>
          <w:rFonts w:hint="eastAsia" w:ascii="Times New Roman" w:hAnsi="Times New Roman" w:cs="Times New Roman"/>
          <w:sz w:val="24"/>
        </w:rPr>
        <w:t>，代表中国慢性病前瞻性研究项目协作组</w:t>
      </w:r>
    </w:p>
    <w:p>
      <w:pPr>
        <w:spacing w:line="360" w:lineRule="auto"/>
        <w:rPr>
          <w:rFonts w:hint="eastAsia" w:ascii="Times New Roman" w:hAnsi="Times New Roman" w:cs="Times New Roman"/>
          <w:sz w:val="24"/>
        </w:rPr>
      </w:pP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 xml:space="preserve">1 </w:t>
      </w:r>
      <w:r>
        <w:rPr>
          <w:rFonts w:hint="eastAsia" w:ascii="Times New Roman" w:hAnsi="Times New Roman" w:cs="Times New Roman"/>
          <w:sz w:val="24"/>
        </w:rPr>
        <w:t>Department of Epidemiology, Center for Global Health, School of Public Health, Nanjing Medical University, Nanjing 211166, China.</w:t>
      </w: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 xml:space="preserve">2 </w:t>
      </w:r>
      <w:r>
        <w:rPr>
          <w:rFonts w:hint="eastAsia" w:ascii="Times New Roman" w:hAnsi="Times New Roman" w:cs="Times New Roman"/>
          <w:sz w:val="24"/>
        </w:rPr>
        <w:t>Department of Epidemiology &amp; Biostatistics, School of Public Health, Peking University, Beijing 100191, China.</w:t>
      </w: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 xml:space="preserve">3 </w:t>
      </w:r>
      <w:r>
        <w:rPr>
          <w:rFonts w:hint="eastAsia" w:ascii="Times New Roman" w:hAnsi="Times New Roman" w:cs="Times New Roman"/>
          <w:sz w:val="24"/>
        </w:rPr>
        <w:t>Peking University Center for Public Health and Epidemic Preparedness &amp; Response, Beijing 100191, China.</w:t>
      </w: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 xml:space="preserve">4 </w:t>
      </w:r>
      <w:r>
        <w:rPr>
          <w:rFonts w:hint="eastAsia" w:ascii="Times New Roman" w:hAnsi="Times New Roman" w:cs="Times New Roman"/>
          <w:sz w:val="24"/>
        </w:rPr>
        <w:t>Key Laboratory of Epidemiology of Major Diseases (Peking University), Ministry of Education, Beijing 100191, China.</w:t>
      </w: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 xml:space="preserve">5 </w:t>
      </w:r>
      <w:r>
        <w:rPr>
          <w:rFonts w:hint="eastAsia" w:ascii="Times New Roman" w:hAnsi="Times New Roman" w:cs="Times New Roman"/>
          <w:sz w:val="24"/>
        </w:rPr>
        <w:t>State Key Laboratory of Vascular Homeostasis and Remodeling, Peking University, Beijing 100191, China.</w:t>
      </w:r>
    </w:p>
    <w:p>
      <w:pPr>
        <w:spacing w:line="360" w:lineRule="auto"/>
        <w:rPr>
          <w:rFonts w:ascii="Times New Roman" w:hAnsi="Times New Roman" w:cs="Times New Roman"/>
          <w:sz w:val="24"/>
        </w:rPr>
      </w:pPr>
      <w:r>
        <w:rPr>
          <w:rFonts w:hint="eastAsia" w:ascii="Times New Roman" w:hAnsi="Times New Roman" w:cs="Times New Roman"/>
          <w:sz w:val="24"/>
          <w:vertAlign w:val="superscript"/>
        </w:rPr>
        <w:t>6</w:t>
      </w:r>
      <w:r>
        <w:rPr>
          <w:rFonts w:ascii="Times New Roman" w:hAnsi="Times New Roman" w:cs="Times New Roman"/>
          <w:sz w:val="24"/>
          <w:vertAlign w:val="superscript"/>
        </w:rPr>
        <w:t xml:space="preserve"> </w:t>
      </w:r>
      <w:r>
        <w:rPr>
          <w:rFonts w:ascii="Times New Roman" w:hAnsi="Times New Roman" w:cs="Times New Roman"/>
          <w:sz w:val="24"/>
        </w:rPr>
        <w:t>Jiangsu Key Lab of Cancer Biomarkers, Prevention and Treatment, Collaborative Innovation Center for Cancer Medicine and China International Cooperation Center for Environment and Human Health , Nanjing Medical University, Nanjing 211166, China.</w:t>
      </w:r>
    </w:p>
    <w:p>
      <w:pPr>
        <w:spacing w:line="360" w:lineRule="auto"/>
        <w:rPr>
          <w:rFonts w:ascii="Times New Roman" w:hAnsi="Times New Roman" w:cs="Times New Roman"/>
          <w:sz w:val="24"/>
        </w:rPr>
      </w:pPr>
      <w:r>
        <w:rPr>
          <w:rFonts w:ascii="Times New Roman" w:hAnsi="Times New Roman" w:cs="Times New Roman"/>
          <w:sz w:val="24"/>
          <w:vertAlign w:val="superscript"/>
        </w:rPr>
        <w:t xml:space="preserve">7 </w:t>
      </w:r>
      <w:r>
        <w:rPr>
          <w:rFonts w:ascii="Times New Roman" w:hAnsi="Times New Roman" w:cs="Times New Roman"/>
          <w:sz w:val="24"/>
        </w:rPr>
        <w:t>Medical Research Council Population Health Research Unit at the University of Oxford, Oxford, United Kingdom.</w:t>
      </w:r>
    </w:p>
    <w:p>
      <w:pPr>
        <w:spacing w:line="360" w:lineRule="auto"/>
        <w:rPr>
          <w:rFonts w:ascii="Times New Roman" w:hAnsi="Times New Roman" w:cs="Times New Roman"/>
          <w:sz w:val="24"/>
        </w:rPr>
      </w:pPr>
      <w:r>
        <w:rPr>
          <w:rFonts w:ascii="Times New Roman" w:hAnsi="Times New Roman" w:cs="Times New Roman"/>
          <w:sz w:val="24"/>
          <w:vertAlign w:val="superscript"/>
        </w:rPr>
        <w:t xml:space="preserve">8 </w:t>
      </w:r>
      <w:r>
        <w:rPr>
          <w:rFonts w:ascii="Times New Roman" w:hAnsi="Times New Roman" w:cs="Times New Roman"/>
          <w:sz w:val="24"/>
        </w:rPr>
        <w:t>Clinical Trial Service Unit &amp; Epidemiological Studies Unit (CTSU), Nuffield Department of Population Health, University of Oxford, United Kingdom.</w:t>
      </w: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sz w:val="24"/>
          <w:vertAlign w:val="superscript"/>
        </w:rPr>
        <w:t xml:space="preserve">* </w:t>
      </w:r>
      <w:r>
        <w:rPr>
          <w:rFonts w:ascii="Times New Roman" w:hAnsi="Times New Roman" w:cs="Times New Roman"/>
          <w:sz w:val="24"/>
        </w:rPr>
        <w:t>Senior corresponding authors who jointly directed the study.</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 xml:space="preserve">Correspondence to: </w:t>
      </w:r>
    </w:p>
    <w:p>
      <w:pPr>
        <w:spacing w:line="360" w:lineRule="auto"/>
        <w:rPr>
          <w:rFonts w:ascii="Times New Roman" w:hAnsi="Times New Roman" w:cs="Times New Roman"/>
          <w:sz w:val="24"/>
        </w:rPr>
      </w:pPr>
      <w:r>
        <w:rPr>
          <w:rFonts w:ascii="Times New Roman" w:hAnsi="Times New Roman" w:cs="Times New Roman"/>
          <w:sz w:val="24"/>
        </w:rPr>
        <w:t>Prof Hongbing Shen, Ph.D., Department of Epidemiology, School of Public Health, Nanjing Medical University, 101 Longmian Avenue, Nanjing 211166, China. Tel./Fax: +86-25-86868437, E-mail: hbshen@njmu.edu.cn.</w:t>
      </w: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sz w:val="24"/>
        </w:rPr>
        <w:t>Prof Liming Li, MD, MPH, Department of Epidemiology and Biostatistics, Peking University Health Science Center, 38 Xueyuan Road, Beijing 100191, China, Tel./Fax: +86-10-82801528, E-mail: lmlee@bjmu.edu.cn.</w:t>
      </w: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sz w:val="24"/>
        </w:rPr>
        <w:t>Prof Guangfu Jin, Ph.D., Department of Epidemiology, School of Public Health, Nanjing Medical University, 101 Longmian Avenue, Nanjing 211166, China. Tel./Fax: +86-25-86868499, E-mail: guangfujin@njmu.edu.cn.</w:t>
      </w: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br w:type="page"/>
      </w:r>
    </w:p>
    <w:p>
      <w:pPr>
        <w:spacing w:line="360" w:lineRule="auto"/>
        <w:rPr>
          <w:rFonts w:ascii="Times New Roman" w:hAnsi="Times New Roman" w:cs="Times New Roman"/>
          <w:b/>
          <w:bCs/>
          <w:sz w:val="24"/>
        </w:rPr>
      </w:pPr>
      <w:r>
        <w:rPr>
          <w:rFonts w:ascii="Times New Roman" w:hAnsi="Times New Roman" w:cs="Times New Roman"/>
          <w:b/>
          <w:bCs/>
          <w:sz w:val="24"/>
        </w:rPr>
        <w:t>Abstract</w:t>
      </w:r>
    </w:p>
    <w:p>
      <w:pPr>
        <w:spacing w:line="360" w:lineRule="auto"/>
        <w:rPr>
          <w:rFonts w:ascii="Times New Roman" w:hAnsi="Times New Roman" w:cs="Times New Roman"/>
          <w:b/>
          <w:bCs/>
          <w:sz w:val="24"/>
        </w:rPr>
      </w:pPr>
      <w:r>
        <w:rPr>
          <w:rFonts w:ascii="Times New Roman" w:hAnsi="Times New Roman" w:cs="Times New Roman"/>
          <w:b/>
          <w:bCs/>
          <w:sz w:val="24"/>
        </w:rPr>
        <w:t>Objective</w:t>
      </w:r>
    </w:p>
    <w:p>
      <w:pPr>
        <w:spacing w:line="360" w:lineRule="auto"/>
        <w:rPr>
          <w:rFonts w:ascii="Times New Roman" w:hAnsi="Times New Roman" w:cs="Times New Roman"/>
          <w:sz w:val="24"/>
        </w:rPr>
      </w:pPr>
      <w:r>
        <w:rPr>
          <w:rFonts w:ascii="Times New Roman" w:hAnsi="Times New Roman" w:cs="Times New Roman"/>
          <w:sz w:val="24"/>
        </w:rPr>
        <w:t>Although lifestyle factors ha</w:t>
      </w:r>
      <w:r>
        <w:rPr>
          <w:rFonts w:hint="eastAsia" w:ascii="Times New Roman" w:hAnsi="Times New Roman" w:cs="Times New Roman"/>
          <w:sz w:val="24"/>
          <w:lang w:val="en-US" w:eastAsia="zh-CN"/>
        </w:rPr>
        <w:t>ve</w:t>
      </w:r>
      <w:r>
        <w:rPr>
          <w:rFonts w:ascii="Times New Roman" w:hAnsi="Times New Roman" w:cs="Times New Roman"/>
          <w:sz w:val="24"/>
        </w:rPr>
        <w:t xml:space="preserve"> been frequently linked to a range of cardiometabolic diseases (CMD) and cardiometabolic multimorbidity (CMM), </w:t>
      </w:r>
      <w:r>
        <w:rPr>
          <w:rFonts w:hint="eastAsia" w:ascii="Times New Roman" w:hAnsi="Times New Roman" w:cs="Times New Roman"/>
          <w:sz w:val="24"/>
          <w:lang w:val="en-US" w:eastAsia="zh-CN"/>
        </w:rPr>
        <w:t xml:space="preserve">their </w:t>
      </w:r>
      <w:r>
        <w:rPr>
          <w:rFonts w:ascii="Times New Roman" w:hAnsi="Times New Roman" w:cs="Times New Roman"/>
          <w:sz w:val="24"/>
        </w:rPr>
        <w:t>association</w:t>
      </w:r>
      <w:r>
        <w:rPr>
          <w:rFonts w:hint="eastAsia" w:ascii="Times New Roman" w:hAnsi="Times New Roman" w:cs="Times New Roman"/>
          <w:sz w:val="24"/>
          <w:lang w:val="en-US" w:eastAsia="zh-CN"/>
        </w:rPr>
        <w:t>s</w:t>
      </w:r>
      <w:r>
        <w:rPr>
          <w:rFonts w:ascii="Times New Roman" w:hAnsi="Times New Roman" w:cs="Times New Roman"/>
          <w:sz w:val="24"/>
        </w:rPr>
        <w:t xml:space="preserve"> with the future risk of incident cancer ha</w:t>
      </w:r>
      <w:r>
        <w:rPr>
          <w:rFonts w:hint="eastAsia" w:ascii="Times New Roman" w:hAnsi="Times New Roman" w:cs="Times New Roman"/>
          <w:sz w:val="24"/>
          <w:lang w:val="en-US" w:eastAsia="zh-CN"/>
        </w:rPr>
        <w:t>ve</w:t>
      </w:r>
      <w:r>
        <w:rPr>
          <w:rFonts w:ascii="Times New Roman" w:hAnsi="Times New Roman" w:cs="Times New Roman"/>
          <w:sz w:val="24"/>
        </w:rPr>
        <w:t xml:space="preserve"> been scarcely investigated.</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Methods</w:t>
      </w:r>
    </w:p>
    <w:p>
      <w:pPr>
        <w:spacing w:line="360" w:lineRule="auto"/>
        <w:rPr>
          <w:rFonts w:ascii="Times New Roman" w:hAnsi="Times New Roman" w:cs="Times New Roman"/>
          <w:sz w:val="24"/>
        </w:rPr>
      </w:pPr>
      <w:r>
        <w:rPr>
          <w:rFonts w:ascii="Times New Roman" w:hAnsi="Times New Roman" w:cs="Times New Roman"/>
          <w:sz w:val="24"/>
        </w:rPr>
        <w:t>We conducted this prospective analysis based on the China Kadoorie Biobank and 461,047 participants without a previous history of heart disease, stroke, diabetes</w:t>
      </w:r>
      <w:r>
        <w:rPr>
          <w:rFonts w:hint="eastAsia" w:ascii="Times New Roman" w:hAnsi="Times New Roman" w:cs="Times New Roman"/>
          <w:sz w:val="24"/>
          <w:lang w:val="en-US" w:eastAsia="zh-CN"/>
        </w:rPr>
        <w:t>,</w:t>
      </w:r>
      <w:r>
        <w:rPr>
          <w:rFonts w:ascii="Times New Roman" w:hAnsi="Times New Roman" w:cs="Times New Roman"/>
          <w:sz w:val="24"/>
        </w:rPr>
        <w:t xml:space="preserve"> or cancer were included and followed from baseline to date of cancer, death, migration</w:t>
      </w:r>
      <w:r>
        <w:rPr>
          <w:rFonts w:hint="eastAsia" w:ascii="Times New Roman" w:hAnsi="Times New Roman" w:cs="Times New Roman"/>
          <w:sz w:val="24"/>
          <w:lang w:val="en-US" w:eastAsia="zh-CN"/>
        </w:rPr>
        <w:t>,</w:t>
      </w:r>
      <w:bookmarkStart w:id="0" w:name="_GoBack"/>
      <w:bookmarkEnd w:id="0"/>
      <w:r>
        <w:rPr>
          <w:rFonts w:ascii="Times New Roman" w:hAnsi="Times New Roman" w:cs="Times New Roman"/>
          <w:sz w:val="24"/>
        </w:rPr>
        <w:t xml:space="preserve"> or study end. CMM was defined as the coexistence of at least two cardiometabolic diseases, including ischemic heart disease, stroke, and diabetes. Multi-state model based on Cox regression was used to analyze the association between individual and combined lifestyle factors (current smoking or quitting because of illness, excessive alcohol use, inactive physical activity, unhealthy eating habits, and unhealthy body shape) and the trajectory of CMM and subsequent transitions to future cancer. The population-attributable fractions (PAF) were used to assess the attributable role of lifestyle factors.</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Results</w:t>
      </w:r>
    </w:p>
    <w:p>
      <w:pPr>
        <w:spacing w:line="360" w:lineRule="auto"/>
        <w:rPr>
          <w:rFonts w:ascii="Times New Roman" w:hAnsi="Times New Roman" w:cs="Times New Roman"/>
          <w:sz w:val="24"/>
        </w:rPr>
      </w:pPr>
      <w:r>
        <w:rPr>
          <w:rFonts w:ascii="Times New Roman" w:hAnsi="Times New Roman" w:cs="Times New Roman"/>
          <w:sz w:val="24"/>
        </w:rPr>
        <w:t>During a median follow-up of 11.1 years, 98,867 subjects developed at least one CMD, 22,539 developed CMM, and of these, 26,197 suffered from a subsequent cancer. In the multivariable-adjusted model, first cardiometabolic disease (FCMD) patients had 59% (HR 1.59; 95% CI: 1.23-2.06) higher risk of future cancer compared to those without CMD. The five high-risk lifestyle factors play crucial but distinct roles in the progression from baseline healthy state to CMD and from CMD to cancer, with smoking (HR 1.32; 95% CI: 1.21-1.45) and alcohol consumption (HR 1.29; 95% CI: 1.17-1.42), in particular, resulting in sustained risk on the transition from FCMD to cancer. The number of high-risk lifestyle factors was associated with higher risk of transitions from baseline to FCMD (HR 1.22; 95% CI: 1.21-1.23) and cancer (HR 1.11; 95% CI: 1.09-1.12), and from FCMD to CMM (HR 1.14; 95% CI: 1.13-1.16) and cancer (HR 1.11; 95% CI: 1.07-1.14) per one-factor increase, respectively. The results of PAFs indicated that if the subjects adhered to ≥3 healthy lifestyle factors, they could theoretically avoid 17.2% (16.5%, 17.9%) FCMD cases and 8.95% (7.51%, 10.5%) of getting cancer first. Additionally, among FCMD patients, 9.90% (8.29%, 11.10%) of subsequent CMM and 9.84% (5.95%, 13.80%) of future cancer progression could be prevented.</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Conclusions</w:t>
      </w:r>
    </w:p>
    <w:p>
      <w:pPr>
        <w:spacing w:line="360" w:lineRule="auto"/>
        <w:rPr>
          <w:rFonts w:ascii="Times New Roman" w:hAnsi="Times New Roman" w:cs="Times New Roman"/>
          <w:sz w:val="24"/>
        </w:rPr>
      </w:pPr>
      <w:r>
        <w:rPr>
          <w:rFonts w:ascii="Times New Roman" w:hAnsi="Times New Roman" w:cs="Times New Roman"/>
          <w:sz w:val="24"/>
        </w:rPr>
        <w:t>This study provides evidence that CMD patients have a higher risk of developing future cancer, but adopting positive lifestyle modifications can reduce the likelihood of this transition.</w:t>
      </w:r>
    </w:p>
    <w:p>
      <w:pPr>
        <w:spacing w:line="360" w:lineRule="auto"/>
        <w:rPr>
          <w:rFonts w:ascii="Times New Roman" w:hAnsi="Times New Roman" w:cs="Times New Roman"/>
          <w:sz w:val="24"/>
        </w:rPr>
      </w:pPr>
    </w:p>
    <w:p>
      <w:pPr>
        <w:spacing w:line="360" w:lineRule="auto"/>
        <w:rPr>
          <w:rFonts w:ascii="Times New Roman" w:hAnsi="Times New Roman" w:cs="Times New Roman"/>
          <w:b/>
          <w:bCs/>
          <w:sz w:val="24"/>
        </w:rPr>
      </w:pPr>
      <w:r>
        <w:rPr>
          <w:rFonts w:ascii="Times New Roman" w:hAnsi="Times New Roman" w:cs="Times New Roman"/>
          <w:b/>
          <w:bCs/>
          <w:sz w:val="24"/>
        </w:rPr>
        <w:t>Keywords</w:t>
      </w:r>
    </w:p>
    <w:p>
      <w:pPr>
        <w:spacing w:line="360" w:lineRule="auto"/>
        <w:rPr>
          <w:rFonts w:ascii="Times New Roman" w:hAnsi="Times New Roman" w:cs="Times New Roman"/>
          <w:sz w:val="24"/>
        </w:rPr>
      </w:pPr>
      <w:r>
        <w:rPr>
          <w:rFonts w:ascii="Times New Roman" w:hAnsi="Times New Roman" w:cs="Times New Roman"/>
          <w:sz w:val="24"/>
        </w:rPr>
        <w:t>lifestyle, cardiometabolic disease, cancer, cohort study</w:t>
      </w:r>
    </w:p>
    <w:p>
      <w:pPr>
        <w:spacing w:line="360" w:lineRule="auto"/>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5001BC"/>
    <w:rsid w:val="0015327D"/>
    <w:rsid w:val="00911F08"/>
    <w:rsid w:val="00B37F20"/>
    <w:rsid w:val="0AA07C95"/>
    <w:rsid w:val="585001BC"/>
    <w:rsid w:val="60771475"/>
    <w:rsid w:val="7BC85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760</Words>
  <Characters>4334</Characters>
  <Lines>36</Lines>
  <Paragraphs>10</Paragraphs>
  <TotalTime>2</TotalTime>
  <ScaleCrop>false</ScaleCrop>
  <LinksUpToDate>false</LinksUpToDate>
  <CharactersWithSpaces>5084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2024-08-13T06:43:00Z</dcterms:created>
  <dc:creator>Xia Zhu</dc:creator>
  <cp:lastModifiedBy>Xia Zhu</cp:lastModifiedBy>
  <dcterms:modified xsi:type="dcterms:W3CDTF">2024-08-13T08:28:52Z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